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污水监测年度服务项目主要技术参数</w:t>
      </w:r>
    </w:p>
    <w:bookmarkEnd w:id="0"/>
    <w:p>
      <w:pPr>
        <w:rPr>
          <w:rFonts w:hint="eastAsia"/>
          <w:lang w:eastAsia="zh-CN"/>
        </w:rPr>
      </w:pPr>
    </w:p>
    <w:p>
      <w:pPr>
        <w:pStyle w:val="6"/>
        <w:numPr>
          <w:ilvl w:val="0"/>
          <w:numId w:val="0"/>
        </w:numPr>
        <w:spacing w:line="400" w:lineRule="exact"/>
        <w:ind w:leftChars="0"/>
        <w:rPr>
          <w:rFonts w:hint="eastAsia" w:asciiTheme="minorEastAsia" w:hAnsiTheme="minorEastAsia" w:cstheme="minorEastAsia"/>
          <w:bCs/>
          <w:sz w:val="28"/>
          <w:szCs w:val="28"/>
          <w:u w:val="none"/>
          <w:vertAlign w:val="baseline"/>
          <w:lang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u w:val="none"/>
          <w:vertAlign w:val="baseline"/>
          <w:lang w:eastAsia="zh-CN"/>
        </w:rPr>
        <w:t>对医院污水进行定期检测并出具报告，具体内容如下：</w:t>
      </w:r>
    </w:p>
    <w:tbl>
      <w:tblPr>
        <w:tblStyle w:val="3"/>
        <w:tblpPr w:leftFromText="180" w:rightFromText="180" w:vertAnchor="text" w:horzAnchor="page" w:tblpX="1335" w:tblpY="370"/>
        <w:tblOverlap w:val="never"/>
        <w:tblW w:w="93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30"/>
        <w:gridCol w:w="2220"/>
        <w:gridCol w:w="2835"/>
        <w:gridCol w:w="1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点位名称及编号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监测指标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检测频次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执行标准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废水总排口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化学需氧量（COD）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监测1天，每天3次（1次/周）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《医疗机构水污染排放标准》（GB 18466-2005）表2预处理标准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悬浮物（SS）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监测1天，每天3次（1次/周）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总余氯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监测1天，每天3次（1次/周）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pH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监测1天，每天3次（1次/周）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生化需氧量（BOD5）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氨氮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动植物油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石油类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阴离子表面活性剂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色度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挥发酚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总氰化物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总汞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总镉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总铬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六价铬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总砷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总铅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总银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粪大肠菌群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监测1天，每天3次（1次/月）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肠道致病菌（沙门氏菌）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肠道病毒（志贺氏菌）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监测1天，每天3次（1次/半年）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厂界噪声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噪音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监测1天，昼夜各一次（1次/年）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工业企业厂界环境噪声排放标准GB12348-2008 2类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污水处理站有组织废气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硫化氢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次（1次/季）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《医疗机构水污染排放标准》（GB 18466-2005）表3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臭气浓度（无量纲）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污水处理站周边废气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硫化氢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监测1天，每天4次（1次/季）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《医疗机构水污染排放标准》（GB 18466-2005）表3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监测1天，每天4次（1次/季）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臭气浓度（无量纲）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监测1天，每天4次（1次/季）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氯气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监测1天，每天4次（1次/季）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甲烷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lang w:val="en-US" w:eastAsia="zh-CN" w:bidi="ar"/>
              </w:rPr>
              <w:t>监测1天，每天4次（1次/季）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6"/>
        <w:numPr>
          <w:numId w:val="0"/>
        </w:numPr>
        <w:spacing w:line="400" w:lineRule="exact"/>
        <w:ind w:leftChars="0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720" w:firstLineChars="24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后勤保障部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0" w:firstLineChars="2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202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sectPr>
      <w:pgSz w:w="11906" w:h="16838"/>
      <w:pgMar w:top="141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M2NmZDk1MzFiNjFmYjVjZDhiYzJjMmE2ZTQyYTIifQ=="/>
  </w:docVars>
  <w:rsids>
    <w:rsidRoot w:val="6A0159EE"/>
    <w:rsid w:val="0AE72BF3"/>
    <w:rsid w:val="19A41B5D"/>
    <w:rsid w:val="1C5C5150"/>
    <w:rsid w:val="33083CCF"/>
    <w:rsid w:val="405912A3"/>
    <w:rsid w:val="618D7163"/>
    <w:rsid w:val="66436876"/>
    <w:rsid w:val="6A0159EE"/>
    <w:rsid w:val="70EE5FB0"/>
    <w:rsid w:val="7F1E1A4C"/>
    <w:rsid w:val="7F2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61"/>
    <w:basedOn w:val="5"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2024-01-08T08:49:00Z</dcterms:created>
  <dc:creator>凌薏茹</dc:creator>
  <cp:lastModifiedBy>凌薏茹</cp:lastModifiedBy>
  <cp:lastPrinted>2024-04-07T07:29:00Z</cp:lastPrinted>
  <dcterms:modified xsi:type="dcterms:W3CDTF">2024-04-18T06:37:42Z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72812AF600D24B1196CF3B88398649B3_12</vt:lpwstr>
  </property>
</Properties>
</file>